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8648" w14:textId="3C3BADBA" w:rsidR="00ED3956" w:rsidRDefault="00ED3956" w:rsidP="00DF3D5E">
      <w:pPr>
        <w:autoSpaceDE w:val="0"/>
        <w:autoSpaceDN w:val="0"/>
        <w:adjustRightInd w:val="0"/>
        <w:spacing w:after="0" w:line="240" w:lineRule="auto"/>
      </w:pPr>
    </w:p>
    <w:p w14:paraId="49A450EA" w14:textId="28271EDD" w:rsidR="00ED3956" w:rsidRDefault="00ED3956" w:rsidP="00DF3D5E">
      <w:pPr>
        <w:spacing w:after="0"/>
        <w:ind w:left="258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lang w:val="en-US"/>
        </w:rPr>
        <w:t>“Bank xizmatlari iste’molchilar bilan o‘zaro munosabatlarni amalga oshirishda tijorat banklarining faoliyatiga</w:t>
      </w:r>
      <w:r w:rsidR="00DF3D5E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lang w:val="en-US"/>
        </w:rPr>
        <w:t>qo‘yiladigan minimal talablar to‘g‘risida”gi nizomga</w:t>
      </w:r>
    </w:p>
    <w:p w14:paraId="3FC0F9F3" w14:textId="77777777" w:rsidR="00ED3956" w:rsidRDefault="00ED3956" w:rsidP="00DF3D5E">
      <w:pPr>
        <w:spacing w:after="0"/>
        <w:ind w:left="11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lang w:val="en-US"/>
        </w:rPr>
        <w:t>3-ILOVA</w:t>
      </w:r>
    </w:p>
    <w:p w14:paraId="6941AA0E" w14:textId="77777777" w:rsidR="00ED3956" w:rsidRDefault="00ED3956" w:rsidP="00ED3956">
      <w:pPr>
        <w:spacing w:after="0"/>
        <w:ind w:left="11" w:hanging="10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0"/>
          <w:lang w:val="en-US"/>
        </w:rPr>
        <w:t>OMONATNING ASOSIY SHARTLARI TO‘G‘RISIDAGI AXBOROT VARAQASI*</w:t>
      </w:r>
    </w:p>
    <w:tbl>
      <w:tblPr>
        <w:tblW w:w="9482" w:type="dxa"/>
        <w:tblInd w:w="8" w:type="dxa"/>
        <w:tblCellMar>
          <w:top w:w="64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4487"/>
      </w:tblGrid>
      <w:tr w:rsidR="00ED3956" w:rsidRPr="00AE55AB" w14:paraId="4EEE6905" w14:textId="77777777" w:rsidTr="00AE55AB">
        <w:trPr>
          <w:trHeight w:val="765"/>
        </w:trPr>
        <w:tc>
          <w:tcPr>
            <w:tcW w:w="4995" w:type="dxa"/>
            <w:tcBorders>
              <w:top w:val="single" w:sz="6" w:space="0" w:color="2C2C2C"/>
              <w:left w:val="single" w:sz="6" w:space="0" w:color="2C2C2C"/>
              <w:bottom w:val="single" w:sz="6" w:space="0" w:color="2C2C2C"/>
              <w:right w:val="single" w:sz="6" w:space="0" w:color="808080"/>
            </w:tcBorders>
            <w:vAlign w:val="center"/>
            <w:hideMark/>
          </w:tcPr>
          <w:p w14:paraId="1725BF91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Tijorat bankining nomi, rasmiy veb-sayti, telefon raqamlari</w:t>
            </w:r>
          </w:p>
        </w:tc>
        <w:tc>
          <w:tcPr>
            <w:tcW w:w="4487" w:type="dxa"/>
            <w:tcBorders>
              <w:top w:val="single" w:sz="6" w:space="0" w:color="2C2C2C"/>
              <w:left w:val="single" w:sz="6" w:space="0" w:color="808080"/>
              <w:bottom w:val="single" w:sz="6" w:space="0" w:color="2C2C2C"/>
              <w:right w:val="single" w:sz="6" w:space="0" w:color="2C2C2C"/>
            </w:tcBorders>
            <w:hideMark/>
          </w:tcPr>
          <w:p w14:paraId="61EAA10B" w14:textId="77777777" w:rsid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“</w:t>
            </w:r>
            <w:r w:rsidR="006F2836"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O‘zsanoatqurilishbank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” </w:t>
            </w:r>
            <w:r w:rsidR="006F2836"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ATB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  <w:hyperlink r:id="rId5" w:history="1">
              <w:r w:rsidRPr="00AE55AB">
                <w:rPr>
                  <w:rFonts w:eastAsia="Times New Roman"/>
                  <w:sz w:val="20"/>
                  <w:lang w:val="en-US"/>
                </w:rPr>
                <w:t>www.sqb.uz</w:t>
              </w:r>
            </w:hyperlink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, </w:t>
            </w:r>
          </w:p>
          <w:p w14:paraId="21E4506F" w14:textId="1B933B37" w:rsidR="00ED3956" w:rsidRPr="00AE55AB" w:rsidRDefault="00AE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Tel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ED3956"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+99871 200 43 43</w:t>
            </w:r>
          </w:p>
        </w:tc>
      </w:tr>
    </w:tbl>
    <w:p w14:paraId="2B3FD596" w14:textId="77777777" w:rsidR="00ED3956" w:rsidRPr="00DF3D5E" w:rsidRDefault="00ED3956" w:rsidP="00ED3956">
      <w:pPr>
        <w:spacing w:after="0"/>
        <w:ind w:left="11" w:hanging="10"/>
        <w:jc w:val="center"/>
        <w:rPr>
          <w:rFonts w:ascii="Times New Roman" w:eastAsia="Times New Roman" w:hAnsi="Times New Roman" w:cs="Times New Roman"/>
          <w:b/>
          <w:bCs/>
          <w:sz w:val="20"/>
        </w:rPr>
      </w:pPr>
      <w:r w:rsidRPr="00DF3D5E">
        <w:rPr>
          <w:rFonts w:ascii="Times New Roman" w:eastAsia="Times New Roman" w:hAnsi="Times New Roman" w:cs="Times New Roman"/>
          <w:b/>
          <w:bCs/>
          <w:sz w:val="20"/>
        </w:rPr>
        <w:t>1-bo'lim. Omonatning asosiy shartlari</w:t>
      </w:r>
    </w:p>
    <w:tbl>
      <w:tblPr>
        <w:tblW w:w="9482" w:type="dxa"/>
        <w:tblInd w:w="8" w:type="dxa"/>
        <w:tblCellMar>
          <w:top w:w="64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4995"/>
        <w:gridCol w:w="4487"/>
      </w:tblGrid>
      <w:tr w:rsidR="00ED3956" w:rsidRPr="00DC6834" w14:paraId="710F12ED" w14:textId="77777777" w:rsidTr="00AE55AB">
        <w:trPr>
          <w:trHeight w:val="285"/>
        </w:trPr>
        <w:tc>
          <w:tcPr>
            <w:tcW w:w="4995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4AF19D21" w14:textId="77777777" w:rsidR="00ED3956" w:rsidRPr="00DF3D5E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 Omonat nomi</w:t>
            </w:r>
          </w:p>
        </w:tc>
        <w:tc>
          <w:tcPr>
            <w:tcW w:w="4487" w:type="dxa"/>
            <w:tcBorders>
              <w:top w:val="single" w:sz="6" w:space="0" w:color="2C2C2C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hideMark/>
          </w:tcPr>
          <w:p w14:paraId="3225D953" w14:textId="10C109CB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“</w:t>
            </w:r>
            <w:r w:rsidR="006F2836" w:rsidRPr="00AE55AB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Daromadli</w:t>
            </w:r>
            <w:r w:rsidRPr="00AE55AB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” milliy valyutadagi muddatli omonati</w:t>
            </w:r>
          </w:p>
        </w:tc>
      </w:tr>
      <w:tr w:rsidR="00ED3956" w:rsidRPr="00DF3D5E" w14:paraId="3C0DB5C9" w14:textId="77777777" w:rsidTr="00AE55AB">
        <w:trPr>
          <w:trHeight w:val="28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6A55FCC4" w14:textId="77777777" w:rsidR="00ED3956" w:rsidRPr="00DF3D5E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Omonatning valyutasi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hideMark/>
          </w:tcPr>
          <w:p w14:paraId="7FCECFFA" w14:textId="77777777" w:rsidR="00ED3956" w:rsidRPr="00DF3D5E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milliy valyuta (so‘m)</w:t>
            </w:r>
          </w:p>
        </w:tc>
      </w:tr>
      <w:tr w:rsidR="00ED3956" w:rsidRPr="00DC6834" w14:paraId="20056DB4" w14:textId="77777777" w:rsidTr="00AE55AB">
        <w:trPr>
          <w:trHeight w:val="100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7503C58B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3. Omonat bo‘yicha yillik foiz stavkasi (agar omonat bo‘yicha yillik foiz stavkasi differentsiallashgan yoki omonatni rasmiylashtirish usuliga bog‘liq bo‘lsa, har biri alohida ko‘rsatiladi)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33A76C67" w14:textId="781AA7AB" w:rsidR="006F2836" w:rsidRPr="00AE55AB" w:rsidRDefault="006F2836" w:rsidP="006F2836">
            <w:pPr>
              <w:contextualSpacing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Bank ofislarida (of-line) - 2</w:t>
            </w:r>
            <w:r w:rsid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3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%</w:t>
            </w:r>
          </w:p>
          <w:p w14:paraId="2CBE6A6C" w14:textId="48A06F50" w:rsidR="00ED3956" w:rsidRPr="00AE55AB" w:rsidRDefault="006F2836" w:rsidP="006F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Mobil ilovasi orqali (on-line) - 2</w:t>
            </w:r>
            <w:r w:rsid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4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%</w:t>
            </w:r>
          </w:p>
        </w:tc>
      </w:tr>
      <w:tr w:rsidR="00ED3956" w:rsidRPr="00DF3D5E" w14:paraId="42BDFB7D" w14:textId="77777777" w:rsidTr="00AE55AB">
        <w:trPr>
          <w:trHeight w:val="76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0B4E5C46" w14:textId="77777777" w:rsidR="00ED3956" w:rsidRPr="00DC6834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4.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Omonat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bo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‘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yicha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hisoblangan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foizlarni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kapitalizatsiyasi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mavjudligi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(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hisoblangan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foizni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asosiy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mablag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‘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ga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qo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‘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shib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qayta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foiz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hisoblash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)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5836A0A7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mavjud emas</w:t>
            </w:r>
          </w:p>
        </w:tc>
      </w:tr>
      <w:tr w:rsidR="00ED3956" w:rsidRPr="00DF3D5E" w14:paraId="3A75D08E" w14:textId="77777777" w:rsidTr="00AE55AB">
        <w:trPr>
          <w:trHeight w:val="28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0D65B591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5. Omonatning muddati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hideMark/>
          </w:tcPr>
          <w:p w14:paraId="11F33646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24 oyga</w:t>
            </w:r>
          </w:p>
        </w:tc>
      </w:tr>
      <w:tr w:rsidR="00ED3956" w:rsidRPr="00DF3D5E" w14:paraId="63941438" w14:textId="77777777" w:rsidTr="00AE55AB">
        <w:trPr>
          <w:trHeight w:val="52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54CEA91B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6. Omonatga qo‘yiladigan mablag‘ning eng kam miqdori</w:t>
            </w:r>
          </w:p>
          <w:p w14:paraId="173A62A1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(agar mavjud bo‘lsa)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35E66A98" w14:textId="532C80BE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6F2836" w:rsidRPr="00DF3D5E">
              <w:rPr>
                <w:rFonts w:ascii="Times New Roman" w:eastAsia="Times New Roman" w:hAnsi="Times New Roman" w:cs="Times New Roman"/>
                <w:sz w:val="20"/>
              </w:rPr>
              <w:t xml:space="preserve"> mln</w:t>
            </w:r>
            <w:r w:rsidR="00730C6B">
              <w:rPr>
                <w:rFonts w:ascii="Times New Roman" w:eastAsia="Times New Roman" w:hAnsi="Times New Roman" w:cs="Times New Roman"/>
                <w:sz w:val="20"/>
                <w:lang w:val="en-US"/>
              </w:rPr>
              <w:t>.</w:t>
            </w:r>
            <w:r w:rsidR="006F2836" w:rsidRPr="00DF3D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so`m</w:t>
            </w:r>
          </w:p>
        </w:tc>
      </w:tr>
      <w:tr w:rsidR="00ED3956" w:rsidRPr="00DC6834" w14:paraId="0FCC9AC0" w14:textId="77777777" w:rsidTr="00AE55AB">
        <w:trPr>
          <w:trHeight w:val="52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D8A1BA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7. Omonat bo‘yicha foizlarni to‘lash davriyligi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hideMark/>
          </w:tcPr>
          <w:p w14:paraId="0BC1404E" w14:textId="010B66A1" w:rsidR="00ED3956" w:rsidRPr="00AE55AB" w:rsidRDefault="006F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Omonatga foizlar har kuni hisoblanadi va to‘liq oy saqlangan davr uchun to‘lanadi.</w:t>
            </w:r>
          </w:p>
        </w:tc>
      </w:tr>
      <w:tr w:rsidR="00ED3956" w:rsidRPr="00DC6834" w14:paraId="3A850621" w14:textId="77777777" w:rsidTr="00AE55AB">
        <w:trPr>
          <w:trHeight w:val="52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375963E2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8. Omonatni rasmiylashtirish usuli (onlayn yoki bankka tashrif buyurish orqali)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7B59AE6A" w14:textId="2FAD6261" w:rsidR="00ED3956" w:rsidRPr="002000F3" w:rsidRDefault="0020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>Bankning</w:t>
            </w:r>
            <w:r w:rsidR="006F2836"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>Bank</w:t>
            </w:r>
            <w:r w:rsidR="006F2836"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>xizmatlari</w:t>
            </w:r>
            <w:r w:rsidR="006F2836"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>ofislarida</w:t>
            </w:r>
            <w:r w:rsidR="006F2836"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</w:t>
            </w:r>
            <w:r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>va</w:t>
            </w:r>
            <w:r w:rsidR="006F2836"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“Joyda” </w:t>
            </w:r>
            <w:r w:rsidRPr="002000F3">
              <w:rPr>
                <w:rFonts w:ascii="Times New Roman" w:eastAsia="Times New Roman" w:hAnsi="Times New Roman" w:cs="Times New Roman"/>
                <w:sz w:val="20"/>
                <w:lang w:val="en-US"/>
              </w:rPr>
              <w:t>ilovasida</w:t>
            </w:r>
          </w:p>
        </w:tc>
      </w:tr>
      <w:tr w:rsidR="00ED3956" w:rsidRPr="00DF3D5E" w14:paraId="186F9EC3" w14:textId="77777777" w:rsidTr="00AE55AB">
        <w:trPr>
          <w:trHeight w:val="28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1C48EFF0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9. Qo‘shimcha mablag‘ kiritish imkoniyati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hideMark/>
          </w:tcPr>
          <w:p w14:paraId="35299CC2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mavjud emas</w:t>
            </w:r>
          </w:p>
        </w:tc>
      </w:tr>
      <w:tr w:rsidR="00ED3956" w:rsidRPr="00DF3D5E" w14:paraId="71C06E9E" w14:textId="77777777" w:rsidTr="00AE55AB">
        <w:trPr>
          <w:trHeight w:val="52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0D2A61FB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10. Avtouzaytirish (omonat muddati tugaganda omonat muddatini bank tomonidan bir tomonlama uzaytirish)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2DFD8412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mavjud emas</w:t>
            </w:r>
          </w:p>
        </w:tc>
      </w:tr>
      <w:tr w:rsidR="00ED3956" w:rsidRPr="00DF3D5E" w14:paraId="418B2563" w14:textId="77777777" w:rsidTr="00AE55AB">
        <w:trPr>
          <w:trHeight w:val="315"/>
        </w:trPr>
        <w:tc>
          <w:tcPr>
            <w:tcW w:w="4995" w:type="dxa"/>
            <w:tcBorders>
              <w:top w:val="single" w:sz="6" w:space="0" w:color="808080"/>
              <w:left w:val="single" w:sz="6" w:space="0" w:color="2C2C2C"/>
              <w:bottom w:val="single" w:sz="6" w:space="0" w:color="2C2C2C"/>
              <w:right w:val="single" w:sz="6" w:space="0" w:color="808080"/>
            </w:tcBorders>
            <w:hideMark/>
          </w:tcPr>
          <w:p w14:paraId="7E60998F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11. Boshqa shartlar</w:t>
            </w:r>
          </w:p>
        </w:tc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6" w:space="0" w:color="2C2C2C"/>
              <w:right w:val="single" w:sz="6" w:space="0" w:color="2C2C2C"/>
            </w:tcBorders>
            <w:hideMark/>
          </w:tcPr>
          <w:p w14:paraId="5AEFEE05" w14:textId="77777777" w:rsidR="00ED3956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2260C34" w14:textId="77777777" w:rsidR="00ED3956" w:rsidRPr="00AE55AB" w:rsidRDefault="00ED3956" w:rsidP="00ED3956">
      <w:pPr>
        <w:spacing w:after="0"/>
        <w:ind w:left="11" w:hanging="10"/>
        <w:jc w:val="center"/>
        <w:rPr>
          <w:rFonts w:ascii="Times New Roman" w:eastAsia="Times New Roman" w:hAnsi="Times New Roman" w:cs="Times New Roman"/>
          <w:b/>
          <w:bCs/>
          <w:sz w:val="20"/>
          <w:lang w:val="en-US"/>
        </w:rPr>
      </w:pP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2-bo‘lim. Boshqa muhim shartlar</w:t>
      </w:r>
    </w:p>
    <w:tbl>
      <w:tblPr>
        <w:tblW w:w="9490" w:type="dxa"/>
        <w:tblCellMar>
          <w:top w:w="64" w:type="dxa"/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4954"/>
        <w:gridCol w:w="4536"/>
      </w:tblGrid>
      <w:tr w:rsidR="00ED3956" w:rsidRPr="00DF3D5E" w14:paraId="215CA7DD" w14:textId="77777777" w:rsidTr="00AE55AB">
        <w:trPr>
          <w:trHeight w:val="491"/>
        </w:trPr>
        <w:tc>
          <w:tcPr>
            <w:tcW w:w="4954" w:type="dxa"/>
            <w:tcBorders>
              <w:top w:val="single" w:sz="6" w:space="0" w:color="2C2C2C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hideMark/>
          </w:tcPr>
          <w:p w14:paraId="58AED412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1. Omonatga qo‘yilgan pul mablag‘larini omonat muddati tugagunga qadar qisman yechib olish imkoniyatining mavjudligi</w:t>
            </w:r>
          </w:p>
        </w:tc>
        <w:tc>
          <w:tcPr>
            <w:tcW w:w="4536" w:type="dxa"/>
            <w:tcBorders>
              <w:top w:val="single" w:sz="6" w:space="0" w:color="2C2C2C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460AA4AF" w14:textId="77777777" w:rsidR="00ED3956" w:rsidRPr="00DF3D5E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mavjud emas</w:t>
            </w:r>
          </w:p>
        </w:tc>
      </w:tr>
      <w:tr w:rsidR="006F2836" w:rsidRPr="00DC6834" w14:paraId="1C2749E9" w14:textId="77777777" w:rsidTr="00AE55AB">
        <w:trPr>
          <w:trHeight w:val="2191"/>
        </w:trPr>
        <w:tc>
          <w:tcPr>
            <w:tcW w:w="4954" w:type="dxa"/>
            <w:tcBorders>
              <w:top w:val="single" w:sz="6" w:space="0" w:color="808080"/>
              <w:left w:val="single" w:sz="6" w:space="0" w:color="2C2C2C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EE9BC71" w14:textId="4417F698" w:rsidR="006F2836" w:rsidRPr="00730C6B" w:rsidRDefault="006F2836" w:rsidP="006F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t>2. Omonatning shartnomasini muddatidan oldin bekor qilish</w:t>
            </w:r>
            <w:r w:rsidR="00730C6B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 w:rsidRPr="00730C6B">
              <w:rPr>
                <w:rFonts w:ascii="Times New Roman" w:eastAsia="Times New Roman" w:hAnsi="Times New Roman" w:cs="Times New Roman"/>
                <w:sz w:val="20"/>
                <w:lang w:val="en-US"/>
              </w:rPr>
              <w:t>tartibi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2C2C2C"/>
            </w:tcBorders>
            <w:vAlign w:val="center"/>
            <w:hideMark/>
          </w:tcPr>
          <w:p w14:paraId="15284447" w14:textId="77777777" w:rsidR="006F2836" w:rsidRPr="00DC6834" w:rsidRDefault="006F2836" w:rsidP="006F2836">
            <w:pPr>
              <w:tabs>
                <w:tab w:val="left" w:pos="993"/>
              </w:tabs>
              <w:spacing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omonat qo‘yilgan sanadan boshlab bir oy to‘lmasdan talab qilib olinganda, omonatning haqiqatda saqlangan kunlar uchun hisoblangan va zaxirada saqlanayotgan foiz daromdlari to‘lanmaydi;</w:t>
            </w:r>
          </w:p>
          <w:p w14:paraId="44D01DA0" w14:textId="77777777" w:rsidR="006F2836" w:rsidRPr="00DC6834" w:rsidRDefault="006F2836" w:rsidP="006F2836">
            <w:pPr>
              <w:tabs>
                <w:tab w:val="left" w:pos="993"/>
              </w:tabs>
              <w:spacing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6834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ikkinchi - oltinchi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oylar oralig‘ida talab qilib olinganda omonatning haqiqatda saqlangan to‘liq oylar uchun, Bank ofislarida yillik 13%, mobil ilovasi orqali onlayn tarzda ochilgan hisobvaraqlarga yillik 14% miqdorida;</w:t>
            </w:r>
          </w:p>
          <w:p w14:paraId="23B99291" w14:textId="77777777" w:rsidR="006F2836" w:rsidRPr="00DC6834" w:rsidRDefault="006F2836" w:rsidP="006F2836">
            <w:pPr>
              <w:tabs>
                <w:tab w:val="left" w:pos="993"/>
              </w:tabs>
              <w:spacing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6834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yettinchi – o‘n ikkinchi oylar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oralig‘ida talab qilib olinganda omonatning haqiqatda saqlangan to‘liq oylar uchun, Bank ofislarida yillik 17%, mobil ilovasi orqali onlayn tarzda ochilgan hisobvaraqlarga yillik 18% miqdorida;</w:t>
            </w:r>
          </w:p>
          <w:p w14:paraId="405DAE43" w14:textId="28F03F4F" w:rsidR="006F2836" w:rsidRPr="00DC6834" w:rsidRDefault="006F2836" w:rsidP="006F2836">
            <w:pPr>
              <w:tabs>
                <w:tab w:val="left" w:pos="993"/>
              </w:tabs>
              <w:spacing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6834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o‘n uchinchi – o‘n sakkizinchi oylar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oralig‘ida talab qilib olinganda omonatning haqiqatda saqlangan to‘liq oylar uchun, Bank ofislarida yillik 19%, mobil ilovasi orqali onlayn tarzda ochilgan hisobvaraqlarga yillik 20% miqdorida;</w:t>
            </w:r>
          </w:p>
          <w:p w14:paraId="5CD6166D" w14:textId="0B84077E" w:rsidR="006F2836" w:rsidRPr="00DC6834" w:rsidRDefault="006F2836" w:rsidP="006F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    </w:t>
            </w:r>
            <w:r w:rsidRPr="00DC6834"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o‘n to‘qqizinchi – yigirma to‘rtinchi oylar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oralig‘ida talab qilib olinganda omonatning haqiqatda saqlangan to‘liq oylar uchun, Bank ofislarida yillik 2</w:t>
            </w:r>
            <w:r w:rsid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3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%, mobil ilovasi orqali onlayn tarzda ochilgan hisobvaraqlarga yillik 2</w:t>
            </w:r>
            <w:r w:rsid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4</w:t>
            </w:r>
            <w:r w:rsidRPr="00DC6834">
              <w:rPr>
                <w:rFonts w:ascii="Times New Roman" w:eastAsia="Times New Roman" w:hAnsi="Times New Roman" w:cs="Times New Roman"/>
                <w:sz w:val="20"/>
                <w:lang w:val="en-US"/>
              </w:rPr>
              <w:t>% miqdorida;</w:t>
            </w:r>
          </w:p>
        </w:tc>
      </w:tr>
      <w:tr w:rsidR="006F2836" w:rsidRPr="00DC6834" w14:paraId="24381844" w14:textId="77777777" w:rsidTr="00AE55AB">
        <w:trPr>
          <w:trHeight w:val="525"/>
        </w:trPr>
        <w:tc>
          <w:tcPr>
            <w:tcW w:w="9490" w:type="dxa"/>
            <w:gridSpan w:val="2"/>
            <w:tcBorders>
              <w:top w:val="single" w:sz="6" w:space="0" w:color="808080"/>
              <w:left w:val="single" w:sz="6" w:space="0" w:color="2C2C2C"/>
              <w:bottom w:val="single" w:sz="6" w:space="0" w:color="2C2C2C"/>
              <w:right w:val="single" w:sz="6" w:space="0" w:color="2C2C2C"/>
            </w:tcBorders>
            <w:hideMark/>
          </w:tcPr>
          <w:p w14:paraId="2A4B4238" w14:textId="77777777" w:rsidR="006F2836" w:rsidRPr="00AE55AB" w:rsidRDefault="006F2836" w:rsidP="006F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r w:rsidRPr="00AE55AB">
              <w:rPr>
                <w:rFonts w:ascii="Times New Roman" w:eastAsia="Times New Roman" w:hAnsi="Times New Roman" w:cs="Times New Roman"/>
                <w:sz w:val="20"/>
                <w:lang w:val="en-US"/>
              </w:rPr>
              <w:lastRenderedPageBreak/>
              <w:t>3. Fuqarolarning bankdagi omonatlari O‘zbekiston Respublikasining “Fuqarolarning banklardagi omonatlarini himoyalash kafolatlari to‘g‘risida”gi Qonuniga muvofiq kafolatlangan.</w:t>
            </w:r>
          </w:p>
        </w:tc>
      </w:tr>
    </w:tbl>
    <w:p w14:paraId="1707ABD7" w14:textId="77777777" w:rsidR="00ED3956" w:rsidRPr="00AE55AB" w:rsidRDefault="00ED3956" w:rsidP="00ED3956">
      <w:pPr>
        <w:spacing w:after="0" w:line="216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sz w:val="20"/>
          <w:lang w:val="en-US"/>
        </w:rPr>
      </w:pP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Omonat qo‘yishga rozi bo‘lishdan oldin diqqat bilan o‘rganib chiqing!</w:t>
      </w:r>
    </w:p>
    <w:p w14:paraId="1C58275B" w14:textId="77777777" w:rsidR="00ED3956" w:rsidRPr="00AE55AB" w:rsidRDefault="00ED3956" w:rsidP="00730C6B">
      <w:pPr>
        <w:spacing w:after="0" w:line="216" w:lineRule="auto"/>
        <w:ind w:left="-5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AE55AB">
        <w:rPr>
          <w:rFonts w:ascii="Times New Roman" w:eastAsia="Times New Roman" w:hAnsi="Times New Roman" w:cs="Times New Roman"/>
          <w:sz w:val="20"/>
          <w:lang w:val="en-US"/>
        </w:rPr>
        <w:t>Siz omonatning shartlari, omonat bo‘yicha foiz daromadlari va hisob-kitoblar tartibi to‘g‘risida, shuningdek huquqlaringiz va majburiyatlaringiz, Sizga tushunarsiz bo‘lgan boshqa masalalar yuzasidan bankdan to‘liq va batafsil maʼlumot olishga haqlisiz.</w:t>
      </w:r>
    </w:p>
    <w:p w14:paraId="7CEA9623" w14:textId="164F1791" w:rsidR="00ED3956" w:rsidRPr="00AE55AB" w:rsidRDefault="00ED3956" w:rsidP="00ED3956">
      <w:pPr>
        <w:spacing w:after="0" w:line="216" w:lineRule="auto"/>
        <w:ind w:left="-5" w:hanging="10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AE55AB">
        <w:rPr>
          <w:rFonts w:ascii="Times New Roman" w:eastAsia="Times New Roman" w:hAnsi="Times New Roman" w:cs="Times New Roman"/>
          <w:sz w:val="20"/>
          <w:lang w:val="en-US"/>
        </w:rPr>
        <w:t xml:space="preserve">Agar Sizda shikoyatlar mavjud bo‘lsa, u holda Siz murojaatingizni 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+998 (7</w:t>
      </w:r>
      <w:r w:rsidR="00DF3D5E"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1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 xml:space="preserve">) </w:t>
      </w:r>
      <w:r w:rsidR="00DF3D5E"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200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-</w:t>
      </w:r>
      <w:r w:rsidR="00DF3D5E"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43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-</w:t>
      </w:r>
      <w:r w:rsidR="00DF3D5E"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43</w:t>
      </w:r>
      <w:r w:rsidRPr="00AE55AB">
        <w:rPr>
          <w:rFonts w:ascii="Times New Roman" w:eastAsia="Times New Roman" w:hAnsi="Times New Roman" w:cs="Times New Roman"/>
          <w:sz w:val="20"/>
          <w:lang w:val="en-US"/>
        </w:rPr>
        <w:t xml:space="preserve"> raqamli telefonga yoki 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 xml:space="preserve">Toshkent shahar, </w:t>
      </w:r>
      <w:r w:rsidR="00EE4546"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Islom Karimov ko’chasi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 xml:space="preserve">, </w:t>
      </w:r>
      <w:r w:rsidR="00A61A1E"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55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-uy</w:t>
      </w:r>
      <w:r w:rsidRPr="00AE55AB">
        <w:rPr>
          <w:rFonts w:ascii="Times New Roman" w:eastAsia="Times New Roman" w:hAnsi="Times New Roman" w:cs="Times New Roman"/>
          <w:sz w:val="20"/>
          <w:lang w:val="en-US"/>
        </w:rPr>
        <w:t xml:space="preserve"> manzilga yoki</w:t>
      </w: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 xml:space="preserve"> </w:t>
      </w:r>
      <w:hyperlink r:id="rId6" w:history="1">
        <w:r w:rsidR="00EE4546" w:rsidRPr="00AE55AB">
          <w:rPr>
            <w:rFonts w:eastAsia="Times New Roman"/>
            <w:b/>
            <w:bCs/>
            <w:sz w:val="20"/>
            <w:lang w:val="en-US"/>
          </w:rPr>
          <w:t>www.sqb.uz</w:t>
        </w:r>
      </w:hyperlink>
      <w:r w:rsidR="00EE4546" w:rsidRPr="00AE55AB">
        <w:rPr>
          <w:rFonts w:ascii="Times New Roman" w:eastAsia="Times New Roman" w:hAnsi="Times New Roman" w:cs="Times New Roman"/>
          <w:sz w:val="20"/>
          <w:lang w:val="en-US"/>
        </w:rPr>
        <w:t>,</w:t>
      </w:r>
      <w:r w:rsidRPr="00AE55AB">
        <w:rPr>
          <w:rFonts w:ascii="Times New Roman" w:eastAsia="Times New Roman" w:hAnsi="Times New Roman" w:cs="Times New Roman"/>
          <w:sz w:val="20"/>
          <w:lang w:val="en-US"/>
        </w:rPr>
        <w:t xml:space="preserve"> elektron manzilga jo‘natishingiz mumkin.</w:t>
      </w:r>
    </w:p>
    <w:p w14:paraId="4E8EB2E0" w14:textId="77777777" w:rsidR="00ED3956" w:rsidRPr="00AE55AB" w:rsidRDefault="00ED3956" w:rsidP="00ED3956">
      <w:pPr>
        <w:spacing w:after="0"/>
        <w:rPr>
          <w:rFonts w:ascii="Times New Roman" w:eastAsia="Times New Roman" w:hAnsi="Times New Roman" w:cs="Times New Roman"/>
          <w:sz w:val="20"/>
          <w:lang w:val="en-US"/>
        </w:rPr>
      </w:pPr>
      <w:r w:rsidRPr="00AE55AB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53712672" w14:textId="77777777" w:rsidR="00ED3956" w:rsidRPr="00AE55AB" w:rsidRDefault="00ED3956" w:rsidP="00ED395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lang w:val="en-US"/>
        </w:rPr>
      </w:pPr>
      <w:r w:rsidRPr="00AE55AB">
        <w:rPr>
          <w:rFonts w:ascii="Times New Roman" w:eastAsia="Times New Roman" w:hAnsi="Times New Roman" w:cs="Times New Roman"/>
          <w:b/>
          <w:bCs/>
          <w:sz w:val="20"/>
          <w:lang w:val="en-US"/>
        </w:rPr>
        <w:t>AXBOROT VARAQASINING TO‘G‘RILIGI VA HAQIQIYLIGI TASDIQLANADI.</w:t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65"/>
        <w:gridCol w:w="65"/>
        <w:gridCol w:w="2346"/>
        <w:gridCol w:w="65"/>
      </w:tblGrid>
      <w:tr w:rsidR="00ED3956" w:rsidRPr="00DF3D5E" w14:paraId="21526E25" w14:textId="77777777" w:rsidTr="00ED3956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6DCD2E9" w14:textId="77777777" w:rsidR="00ED3956" w:rsidRPr="00DF3D5E" w:rsidRDefault="00ED395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DF3D5E">
              <w:rPr>
                <w:rFonts w:ascii="Times New Roman" w:eastAsia="Times New Roman" w:hAnsi="Times New Roman" w:cs="Times New Roman"/>
                <w:sz w:val="20"/>
              </w:rPr>
              <w:t>________________________________________________________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093F2E9" w14:textId="77777777" w:rsidR="00ED3956" w:rsidRPr="00DF3D5E" w:rsidRDefault="00ED39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6DAAC4F" w14:textId="77777777" w:rsidR="00ED3956" w:rsidRPr="00DF3D5E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E114079" w14:textId="77777777" w:rsidR="00ED3956" w:rsidRPr="00DF3D5E" w:rsidRDefault="00ED3956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DF3D5E">
              <w:rPr>
                <w:rFonts w:ascii="Times New Roman" w:eastAsia="Times New Roman" w:hAnsi="Times New Roman" w:cs="Times New Roman"/>
                <w:sz w:val="20"/>
              </w:rPr>
              <w:t>__________________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16E31968" w14:textId="77777777" w:rsidR="00ED3956" w:rsidRPr="00DF3D5E" w:rsidRDefault="00ED39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D3956" w:rsidRPr="00DF3D5E" w14:paraId="5A394DA3" w14:textId="77777777" w:rsidTr="00ED3956">
        <w:trPr>
          <w:trHeight w:val="330"/>
        </w:trPr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258403B" w14:textId="77777777" w:rsidR="00ED3956" w:rsidRPr="00AE55AB" w:rsidRDefault="00ED3956">
            <w:pPr>
              <w:pStyle w:val="a4"/>
              <w:spacing w:after="0" w:line="252" w:lineRule="auto"/>
              <w:jc w:val="center"/>
              <w:rPr>
                <w:rFonts w:eastAsia="Times New Roman"/>
                <w:color w:val="auto"/>
                <w:sz w:val="20"/>
                <w:szCs w:val="22"/>
                <w:lang w:val="en-US" w:eastAsia="en-US"/>
              </w:rPr>
            </w:pPr>
            <w:r w:rsidRPr="00AE55AB">
              <w:rPr>
                <w:rFonts w:eastAsia="Times New Roman"/>
                <w:i/>
                <w:iCs/>
                <w:szCs w:val="22"/>
                <w:lang w:val="en-US" w:eastAsia="en-US"/>
              </w:rPr>
              <w:t>(bank mutaxassisining F.I.Sh. va lavozimi)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A4F984" w14:textId="77777777" w:rsidR="00ED3956" w:rsidRPr="00AE55AB" w:rsidRDefault="00ED3956">
            <w:pPr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050DF3" w14:textId="77777777" w:rsidR="00ED3956" w:rsidRPr="00AE55AB" w:rsidRDefault="00ED3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EF50AAF" w14:textId="77777777" w:rsidR="00ED3956" w:rsidRPr="00DF3D5E" w:rsidRDefault="00ED3956">
            <w:pPr>
              <w:pStyle w:val="a4"/>
              <w:spacing w:after="0" w:line="252" w:lineRule="auto"/>
              <w:rPr>
                <w:rFonts w:eastAsia="Times New Roman"/>
                <w:color w:val="auto"/>
                <w:sz w:val="20"/>
                <w:szCs w:val="22"/>
                <w:lang w:eastAsia="en-US"/>
              </w:rPr>
            </w:pPr>
            <w:r w:rsidRPr="00DF3D5E">
              <w:rPr>
                <w:rFonts w:eastAsia="Times New Roman"/>
                <w:i/>
                <w:iCs/>
                <w:sz w:val="20"/>
                <w:szCs w:val="22"/>
                <w:lang w:eastAsia="en-US"/>
              </w:rPr>
              <w:t>(to‘ldirilgan sana)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78229" w14:textId="77777777" w:rsidR="00ED3956" w:rsidRPr="00DF3D5E" w:rsidRDefault="00ED39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636451E3" w14:textId="77777777" w:rsidR="00ED3956" w:rsidRPr="00DF3D5E" w:rsidRDefault="00ED3956" w:rsidP="00ED3956">
      <w:pPr>
        <w:spacing w:after="0" w:line="216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 w:rsidRPr="00DF3D5E">
        <w:rPr>
          <w:rFonts w:ascii="Times New Roman" w:eastAsia="Times New Roman" w:hAnsi="Times New Roman" w:cs="Times New Roman"/>
          <w:sz w:val="20"/>
        </w:rPr>
        <w:t>Mazkur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varaqa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omonat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shartnomasi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yoki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omonat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olish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uchun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buyurtmanoma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o</w:t>
      </w:r>
      <w:r>
        <w:rPr>
          <w:rFonts w:ascii="Times New Roman" w:eastAsia="Times New Roman" w:hAnsi="Times New Roman" w:cs="Times New Roman"/>
          <w:sz w:val="20"/>
        </w:rPr>
        <w:t>‘</w:t>
      </w:r>
      <w:r w:rsidRPr="00DF3D5E">
        <w:rPr>
          <w:rFonts w:ascii="Times New Roman" w:eastAsia="Times New Roman" w:hAnsi="Times New Roman" w:cs="Times New Roman"/>
          <w:sz w:val="20"/>
        </w:rPr>
        <w:t>rnini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bosmaydi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 w:rsidRPr="00DF3D5E">
        <w:rPr>
          <w:rFonts w:ascii="Times New Roman" w:eastAsia="Times New Roman" w:hAnsi="Times New Roman" w:cs="Times New Roman"/>
          <w:sz w:val="20"/>
        </w:rPr>
        <w:t>aksincha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turli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banklarning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omonat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shartlarini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taqqoslashga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va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kerakli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tanlovni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amalga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oshirishga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yordam</w:t>
      </w:r>
      <w:r w:rsidRPr="00ED3956">
        <w:rPr>
          <w:rFonts w:ascii="Times New Roman" w:eastAsia="Times New Roman" w:hAnsi="Times New Roman" w:cs="Times New Roman"/>
          <w:sz w:val="20"/>
        </w:rPr>
        <w:t xml:space="preserve"> </w:t>
      </w:r>
      <w:r w:rsidRPr="00DF3D5E">
        <w:rPr>
          <w:rFonts w:ascii="Times New Roman" w:eastAsia="Times New Roman" w:hAnsi="Times New Roman" w:cs="Times New Roman"/>
          <w:sz w:val="20"/>
        </w:rPr>
        <w:t>beradi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54D64FF3" w14:textId="3CC5FB9D" w:rsidR="00ED3956" w:rsidRPr="00DF3D5E" w:rsidRDefault="00ED3956">
      <w:pPr>
        <w:rPr>
          <w:rFonts w:ascii="Times New Roman" w:eastAsia="Times New Roman" w:hAnsi="Times New Roman" w:cs="Times New Roman"/>
          <w:sz w:val="20"/>
        </w:rPr>
      </w:pPr>
    </w:p>
    <w:p w14:paraId="125283D0" w14:textId="02978ADF" w:rsidR="00ED3956" w:rsidRPr="00DF3D5E" w:rsidRDefault="00ED3956">
      <w:pPr>
        <w:rPr>
          <w:rFonts w:ascii="Times New Roman" w:eastAsia="Times New Roman" w:hAnsi="Times New Roman" w:cs="Times New Roman"/>
          <w:sz w:val="20"/>
        </w:rPr>
      </w:pPr>
    </w:p>
    <w:p w14:paraId="0AB74B5B" w14:textId="34D29A55" w:rsidR="00ED3956" w:rsidRPr="00DF3D5E" w:rsidRDefault="00ED3956">
      <w:pPr>
        <w:rPr>
          <w:rFonts w:ascii="Times New Roman" w:eastAsia="Times New Roman" w:hAnsi="Times New Roman" w:cs="Times New Roman"/>
          <w:sz w:val="20"/>
        </w:rPr>
      </w:pPr>
    </w:p>
    <w:p w14:paraId="0E778929" w14:textId="1AD5AFC5" w:rsidR="00ED3956" w:rsidRPr="00DF3D5E" w:rsidRDefault="00ED3956">
      <w:pPr>
        <w:rPr>
          <w:rFonts w:ascii="Times New Roman" w:eastAsia="Times New Roman" w:hAnsi="Times New Roman" w:cs="Times New Roman"/>
          <w:sz w:val="20"/>
        </w:rPr>
      </w:pPr>
    </w:p>
    <w:p w14:paraId="12C4C770" w14:textId="77777777" w:rsidR="00ED3956" w:rsidRPr="00DF3D5E" w:rsidRDefault="00ED3956">
      <w:pPr>
        <w:rPr>
          <w:rFonts w:ascii="Times New Roman" w:eastAsia="Times New Roman" w:hAnsi="Times New Roman" w:cs="Times New Roman"/>
          <w:sz w:val="20"/>
        </w:rPr>
      </w:pPr>
    </w:p>
    <w:sectPr w:rsidR="00ED3956" w:rsidRPr="00DF3D5E" w:rsidSect="00AE55A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3"/>
    <w:rsid w:val="002000F3"/>
    <w:rsid w:val="00620273"/>
    <w:rsid w:val="006F2836"/>
    <w:rsid w:val="00714644"/>
    <w:rsid w:val="00730C6B"/>
    <w:rsid w:val="009233CA"/>
    <w:rsid w:val="00A61A1E"/>
    <w:rsid w:val="00AE55AB"/>
    <w:rsid w:val="00CF57DC"/>
    <w:rsid w:val="00DC6834"/>
    <w:rsid w:val="00DF3D5E"/>
    <w:rsid w:val="00ED3956"/>
    <w:rsid w:val="00E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CC95"/>
  <w15:chartTrackingRefBased/>
  <w15:docId w15:val="{2D3CC06E-3D8B-4F4E-A90D-48D46106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7D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3956"/>
    <w:pPr>
      <w:spacing w:line="256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D3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qb.uz" TargetMode="External"/><Relationship Id="rId5" Type="http://schemas.openxmlformats.org/officeDocument/2006/relationships/hyperlink" Target="http://www.sqb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7858-44C6-49F6-B1F8-2BADB4F5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Zebiniso Yulieva</dc:creator>
  <cp:keywords/>
  <dc:description/>
  <cp:lastModifiedBy>Zebiniso I. Yulieva</cp:lastModifiedBy>
  <cp:revision>10</cp:revision>
  <cp:lastPrinted>2024-05-14T11:00:00Z</cp:lastPrinted>
  <dcterms:created xsi:type="dcterms:W3CDTF">2024-04-02T09:08:00Z</dcterms:created>
  <dcterms:modified xsi:type="dcterms:W3CDTF">2024-10-30T05:47:00Z</dcterms:modified>
</cp:coreProperties>
</file>